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PURSUANT TO RULE 13a-16 OR 15d-16 OF</w:t>
      </w:r>
    </w:p>
    <w:p>
      <w:pPr>
        <w:spacing w:after="0" w:line="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For the month of June 23, 2026</w:t>
      </w:r>
    </w:p>
    <w:p>
      <w:pPr>
        <w:spacing w:after="0" w:line="22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 001-42820</w:t>
      </w:r>
    </w:p>
    <w:p>
      <w:pPr>
        <w:spacing w:after="0" w:line="19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32"/>
          <w:szCs w:val="32"/>
          <w:b w:val="1"/>
          <w:bCs w:val="1"/>
          <w:color w:val="auto"/>
        </w:rPr>
        <w:t>TryHard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ectPr>
          <w:pgSz w:w="11900" w:h="16838" w:orient="portrait"/>
          <w:cols w:equalWidth="0" w:num="1">
            <w:col w:w="10540"/>
          </w:cols>
          <w:pgMar w:left="980" w:top="740" w:right="379" w:bottom="1440" w:gutter="0" w:footer="0" w:header="0"/>
        </w:sectPr>
      </w:pPr>
    </w:p>
    <w:p>
      <w:pPr>
        <w:spacing w:after="0" w:line="203"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7"/>
          <w:szCs w:val="17"/>
          <w:b w:val="1"/>
          <w:bCs w:val="1"/>
          <w:color w:val="auto"/>
        </w:rPr>
        <w:t>541-0056, 2 Chome 5−19, Kyutaromachi</w:t>
      </w:r>
    </w:p>
    <w:p>
      <w:pPr>
        <w:spacing w:after="0" w:line="43"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Chuo Ward, Osaka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5715</wp:posOffset>
            </wp:positionV>
            <wp:extent cx="349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jc w:val="center"/>
        <w:ind w:right="2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-1494790</wp:posOffset>
            </wp:positionH>
            <wp:positionV relativeFrom="paragraph">
              <wp:posOffset>-120650</wp:posOffset>
            </wp:positionV>
            <wp:extent cx="3488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96" w:lineRule="exact"/>
        <w:rPr>
          <w:sz w:val="24"/>
          <w:szCs w:val="24"/>
          <w:color w:val="auto"/>
        </w:rPr>
      </w:pPr>
    </w:p>
    <w:p>
      <w:pPr>
        <w:sectPr>
          <w:pgSz w:w="11900" w:h="16838" w:orient="portrait"/>
          <w:cols w:equalWidth="0" w:num="2">
            <w:col w:w="6720" w:space="720"/>
            <w:col w:w="3100"/>
          </w:cols>
          <w:pgMar w:left="980" w:top="740" w:right="37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187960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205105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530860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740"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708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30"/>
        </w:trPr>
        <w:tc>
          <w:tcPr>
            <w:tcW w:w="1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Unaudited Interim Condensed Financial Statements for the Six Months Ended December 31, 2025</w:t>
            </w:r>
          </w:p>
        </w:tc>
      </w:tr>
      <w:tr>
        <w:trPr>
          <w:trHeight w:val="453"/>
        </w:trPr>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80" w:type="dxa"/>
            <w:vAlign w:val="bottom"/>
            <w:tcBorders>
              <w:top w:val="single" w:sz="8" w:color="0000EE"/>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2</w:t>
            </w: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TryHard Holdings Limited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Rakuyo Otsuki</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Rakuyo Otsuki</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432"/>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TRYHARD HOLDINGS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2025 and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 30, 2025</w:t>
            </w:r>
          </w:p>
        </w:tc>
        <w:tc>
          <w:tcPr>
            <w:tcW w:w="262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JPY</w:t>
            </w:r>
          </w:p>
        </w:tc>
        <w:tc>
          <w:tcPr>
            <w:tcW w:w="360" w:type="dxa"/>
            <w:vAlign w:val="bottom"/>
          </w:tcPr>
          <w:p>
            <w:pPr>
              <w:spacing w:after="0"/>
              <w:rPr>
                <w:sz w:val="19"/>
                <w:szCs w:val="19"/>
                <w:color w:val="auto"/>
              </w:rPr>
            </w:pPr>
          </w:p>
        </w:tc>
        <w:tc>
          <w:tcPr>
            <w:tcW w:w="2620" w:type="dxa"/>
            <w:vAlign w:val="bottom"/>
            <w:tcBorders>
              <w:top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JPY</w:t>
            </w:r>
          </w:p>
        </w:tc>
        <w:tc>
          <w:tcPr>
            <w:tcW w:w="10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13,348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121,343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1,800</w:t>
            </w:r>
          </w:p>
        </w:tc>
        <w:tc>
          <w:tcPr>
            <w:tcW w:w="26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1,014,513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1,095,397</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w:t>
            </w:r>
          </w:p>
        </w:tc>
        <w:tc>
          <w:tcPr>
            <w:tcW w:w="26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 sublease,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172,233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277,629</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15,255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13,535</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35,466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41,876</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1,252,722</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1,549,780</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989,408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997,299</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an associate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16,902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16,650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848,971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683,104</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17,855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14,777</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66,408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66,408</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 sublease, non-current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111,513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59,207</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207,471</w:t>
            </w:r>
          </w:p>
        </w:tc>
        <w:tc>
          <w:tcPr>
            <w:tcW w:w="262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162,814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152,662</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2,421,342</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2,030,107</w:t>
            </w:r>
          </w:p>
        </w:tc>
        <w:tc>
          <w:tcPr>
            <w:tcW w:w="3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00" w:type="dxa"/>
            <w:vAlign w:val="bottom"/>
            <w:tcBorders>
              <w:bottom w:val="single" w:sz="8" w:color="CCEEFF"/>
            </w:tcBorders>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3,674,064</w:t>
            </w: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3,579,887</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borrowings,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116,150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125,806</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258,183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179,969</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12,895</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305,196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174,568</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168,295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144,638</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2,631</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26,629</w:t>
            </w:r>
          </w:p>
        </w:tc>
        <w:tc>
          <w:tcPr>
            <w:tcW w:w="262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374,687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341,955</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5,276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4,929</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1,267,664</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987,391</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borrowings, non-current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766,691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734,898</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386</w:t>
            </w:r>
          </w:p>
        </w:tc>
        <w:tc>
          <w:tcPr>
            <w:tcW w:w="26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737,903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586,383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13,237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10,860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90,752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90,752</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16,142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12,087</w:t>
            </w:r>
          </w:p>
        </w:tc>
        <w:tc>
          <w:tcPr>
            <w:tcW w:w="6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1,625,111</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1,434,980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2,892,775</w:t>
            </w: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2,422,371</w:t>
            </w:r>
          </w:p>
        </w:tc>
        <w:tc>
          <w:tcPr>
            <w:tcW w:w="3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of US$0.00002 per share; 22,500,000,000</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authorized, 48,750,000 and 52,046,250 ordinary shares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2025)</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Shares (par value of US$0.00002 per share;</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2,500,000,000 Series A Preferred Shares authorized, 2,000,000 Series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 Preferred Shares issued and outstanding as of June 30, 2025 and</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Merger reserve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459,207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892,571</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5,692</w:t>
            </w: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321,925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264,784</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781,289</w:t>
            </w:r>
          </w:p>
        </w:tc>
        <w:tc>
          <w:tcPr>
            <w:tcW w:w="36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1,157,516</w:t>
            </w:r>
          </w:p>
        </w:tc>
        <w:tc>
          <w:tcPr>
            <w:tcW w:w="32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Borders>
              <w:bottom w:val="single" w:sz="8" w:color="CCEEFF"/>
            </w:tcBorders>
          </w:tcPr>
          <w:p>
            <w:pPr>
              <w:spacing w:after="0"/>
              <w:rPr>
                <w:sz w:val="22"/>
                <w:szCs w:val="22"/>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3,674,064</w:t>
            </w:r>
          </w:p>
        </w:tc>
        <w:tc>
          <w:tcPr>
            <w:tcW w:w="3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3,579,887</w:t>
            </w: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0" w:gutter="0" w:footer="0" w:header="0"/>
        </w:sectPr>
      </w:pPr>
    </w:p>
    <w:bookmarkStart w:id="4" w:name="page5"/>
    <w:bookmarkEnd w:id="4"/>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TRYHARD HOLDINGS LIMITED AND ITS SUBSIDIARIES CONSOLIDATED STATEMENTS OF PROFIT OR LOSS AND COMPREHENSIVE LOSS FOR THE SIX MONTHS ENDED DECEMBER 31, 2024 and 2025 (All amounts in thousands, except for share and per share data, or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456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JPY</w:t>
            </w: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JPY</w:t>
            </w:r>
          </w:p>
        </w:tc>
        <w:tc>
          <w:tcPr>
            <w:tcW w:w="3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External</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1,687,519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1,689,170</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10,772</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Related party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6,842</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1,687,519</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1,696,012</w:t>
            </w: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External</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(1,300,431)</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(1,503,132)</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(9,586)</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Related party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(63,502)</w:t>
            </w:r>
          </w:p>
        </w:tc>
        <w:tc>
          <w:tcPr>
            <w:tcW w:w="5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(1,300,431)</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(1,566,634)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387,088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129,378</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(132,355)</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(106,135)</w:t>
            </w:r>
          </w:p>
        </w:tc>
        <w:tc>
          <w:tcPr>
            <w:tcW w:w="5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(228,846)</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(588,062)</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(361,201)</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(694,197)</w:t>
            </w: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11,694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156,346</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(229)</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(30,762)</w:t>
            </w:r>
          </w:p>
        </w:tc>
        <w:tc>
          <w:tcPr>
            <w:tcW w:w="5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37,352</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(439,235)</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(2,801)</w:t>
            </w:r>
          </w:p>
        </w:tc>
      </w:tr>
    </w:tbl>
    <w:p>
      <w:pPr>
        <w:spacing w:after="0" w:line="198"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Share of profit of investments in an associate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disposal of investments in an associate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costs</w:t>
      </w:r>
    </w:p>
    <w:p>
      <w:pPr>
        <w:spacing w:after="0" w:line="14" w:lineRule="exact"/>
        <w:rPr>
          <w:sz w:val="20"/>
          <w:szCs w:val="20"/>
          <w:color w:val="auto"/>
        </w:rPr>
      </w:pPr>
    </w:p>
    <w:p>
      <w:pPr>
        <w:ind w:right="16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Profit (loss) before income tax expenses </w:t>
      </w:r>
      <w:r>
        <w:rPr>
          <w:rFonts w:ascii="Times New Roman" w:cs="Times New Roman" w:eastAsia="Times New Roman" w:hAnsi="Times New Roman"/>
          <w:sz w:val="18"/>
          <w:szCs w:val="18"/>
          <w:color w:val="auto"/>
        </w:rPr>
        <w:t>Income tax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for the period and total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6,158</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14,088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385,660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(9,842)</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(10,271)</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91"/>
        </w:trPr>
        <w:tc>
          <w:tcPr>
            <w:tcW w:w="1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33,668</w:t>
            </w:r>
          </w:p>
        </w:tc>
        <w:tc>
          <w:tcPr>
            <w:tcW w:w="36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(49,758)</w:t>
            </w:r>
          </w:p>
        </w:tc>
        <w:tc>
          <w:tcPr>
            <w:tcW w:w="32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(317)</w:t>
            </w:r>
          </w:p>
        </w:tc>
        <w:tc>
          <w:tcPr>
            <w:tcW w:w="60" w:type="dxa"/>
            <w:vAlign w:val="bottom"/>
            <w:gridSpan w:val="2"/>
          </w:tcPr>
          <w:p>
            <w:pPr>
              <w:spacing w:after="0"/>
              <w:rPr>
                <w:sz w:val="16"/>
                <w:szCs w:val="16"/>
                <w:color w:val="auto"/>
              </w:rPr>
            </w:pPr>
          </w:p>
        </w:tc>
      </w:tr>
      <w:tr>
        <w:trPr>
          <w:trHeight w:val="248"/>
        </w:trPr>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(37,177)</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(7,382)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-890905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-616585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-325120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80" w:space="720"/>
            <w:col w:w="584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50,750,000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51,628,333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51,628,333</w:t>
            </w: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ordinary share - basic and diluted</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(0.07)</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2026-06-23T05:51:30Z</dcterms:created>
  <dcterms:modified xsi:type="dcterms:W3CDTF">2026-06-23T05:51:30Z</dcterms:modified>
</cp:coreProperties>
</file>