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001-42820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TryHard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#502 PMOEX Hommachi, 3-1-10 Hommachi Chuo-ku, Osaka-shi, Osaka Japan (541-0053)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875"/>
        <w:gridCol w:w="230"/>
        <w:gridCol w:w="75"/>
      </w:tblGrid>
      <w:tr>
        <w:trPr/>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extraordinary general meeting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of TryHard Holdings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was held on July 21, 2026 at 2 p.m. Japan Time (July 21, 2026 at 1 a.m. U.S. Eastern Time) at #502 PMOEX Hommachi, 3-1-10 Hommachi Chuo-ku, Osaka-shi, Osaka Japan (541-0053).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close of business on July 6, 2026, the record date for the determination of shareholders entitled to vote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there were 52,046,250 Ordinary Shares of the Company outstanding, of which 50,046,250 were Class A Ordinary Shares, each being entitled to one vote per share and 2,000,000 were Series A Preferred Shares, each being entitled to 25 votes per share, or 50,000,000 votes. Holders of 38,770,010 Class A Ordinary Shares and 2,000,000 Series A Preferred Shares as of the Record Date were present in person or by proxy at the Meeting and constituted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the shareholders of the Company voted on the following resolution, with the voting results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RESOLUTION 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AS AN ORDINARY RESOLUTION,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of each of the issued and unissued ordinary shares of a par value of US$0.00002 each (“Ordinary Shares”) and Series A Preferred Shares of a par value of US$0.00002 each (“Series A Preferred Shares”) at a ratio one (1) – for– ten (10) (the “Share Consolidation”) be and is hereby approved such that (i) every 10 existing authorized unissued and issued Ordinary Shares par value US$0.00002 each be consolidated into 1 Ordinary Share of par value US$0.0002 each, and (ii) every 10 existing authorized unissued and issued Series A Preferred Shares par value US$0.00002 each be consolidated into 1 Series A Preferred Share of par value US$0.0002 each, such that following the Share Consolidation, the authorized share capital of the Company of US$500,000 divided into 25,000,000,000 shares of a par value of US$0.00002 each, comprising (a) 22,500,000,000 Ordinary Shares of a par value of US$0.00002 each and (b) 2,500,000,000 Series A Preferred Shares of a par value of US$0.00002 each will become the authorized share capital of US$500,000 divided into 2,500,000,000 shares of a par value of US$0.0002 each, comprising (a) 2,250,000,000 Ordinary Shares of a par value of US$0.0002 each and (b) 250,000,000 Series A Preferred Shares of a par value of US$0.0002 each;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4" w:type="dxa"/>
            <w:tcBorders/>
            <w:vAlign w:val="center"/>
          </w:tcPr>
          <w:p>
            <w:pPr>
              <w:pStyle w:val="TableContents"/>
              <w:bidi w:val="0"/>
              <w:spacing w:before="0" w:after="283"/>
              <w:jc w:val="both"/>
              <w:rPr>
                <w:caps w:val="false"/>
                <w:smallCaps w:val="false"/>
              </w:rPr>
            </w:pPr>
            <w:r>
              <w:rPr>
                <w:caps w:val="false"/>
                <w:smallCaps w:val="false"/>
              </w:rPr>
              <w:t> </w:t>
            </w:r>
          </w:p>
        </w:tc>
        <w:tc>
          <w:tcPr>
            <w:tcW w:w="99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be and are hereby authorized to settle as they consider expedient any difficulty which arises in relation to the Share Consolidation including, but without prejudice to the generality of the foregoing, in respect of any fractional entitlements to the issued consolidated shares resulting from the Share Consolidation, (a)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shares to be issued to shareholders of the Company to round up any fractions of shares issued to or registered in the name of such shareholders of the Company following or as a result of the Share Consolidation or (b) arranging for the sale of any Ordinary Shares representing fractions and the distribution of the net proceeds of sale (after deduction of the expenses of such sale) in due proportion amongst the shareholders of the Company who would have been entitled to the fractions, and for this purpose the Directors may authorize some persons to transfer the Ordinary Shares representing fractions to the purchaser of such shares (who will not be bound to see to the application of the purchase money) or the Company.”</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Results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190" w:type="dxa"/>
        <w:jc w:val="left"/>
        <w:tblInd w:w="0" w:type="dxa"/>
        <w:tblLayout w:type="fixed"/>
        <w:tblCellMar>
          <w:top w:w="0" w:type="dxa"/>
          <w:left w:w="0" w:type="dxa"/>
          <w:bottom w:w="0" w:type="dxa"/>
          <w:right w:w="0" w:type="dxa"/>
        </w:tblCellMar>
      </w:tblPr>
      <w:tblGrid>
        <w:gridCol w:w="3365"/>
        <w:gridCol w:w="60"/>
        <w:gridCol w:w="60"/>
        <w:gridCol w:w="1625"/>
        <w:gridCol w:w="60"/>
        <w:gridCol w:w="60"/>
        <w:gridCol w:w="70"/>
        <w:gridCol w:w="820"/>
        <w:gridCol w:w="60"/>
        <w:gridCol w:w="60"/>
        <w:gridCol w:w="91"/>
        <w:gridCol w:w="784"/>
        <w:gridCol w:w="75"/>
      </w:tblGrid>
      <w:tr>
        <w:trPr/>
        <w:tc>
          <w:tcPr>
            <w:tcW w:w="336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6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7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c>
          <w:tcPr>
            <w:tcW w:w="75" w:type="dxa"/>
            <w:tcBorders/>
            <w:shd w:fill="FFFFFF" w:val="clear"/>
            <w:vAlign w:val="center"/>
          </w:tcPr>
          <w:p>
            <w:pPr>
              <w:pStyle w:val="TableContents"/>
              <w:bidi w:val="0"/>
              <w:spacing w:before="0" w:after="283"/>
              <w:jc w:val="center"/>
              <w:rPr/>
            </w:pPr>
            <w:r>
              <w:rPr/>
              <w:t> </w:t>
            </w:r>
          </w:p>
        </w:tc>
      </w:tr>
      <w:tr>
        <w:trPr/>
        <w:tc>
          <w:tcPr>
            <w:tcW w:w="336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685"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90"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75" w:type="dxa"/>
            <w:gridSpan w:val="2"/>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Ordinary Share Votes:</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Votes Castl: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38,196,144</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572,692</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1,173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&lt;0.01%</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20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 A Ordinary Shares Voted:</w:t>
            </w:r>
          </w:p>
          <w:p>
            <w:pPr>
              <w:pStyle w:val="TableContents"/>
              <w:bidi w:val="0"/>
              <w:spacing w:before="0" w:after="0"/>
              <w:ind w:left="20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Percentage of Class A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36,196,144 98.44%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572,692 </w:t>
            </w:r>
          </w:p>
          <w:p>
            <w:pPr>
              <w:pStyle w:val="TableContents"/>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1.56 %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1,173 </w:t>
            </w:r>
          </w:p>
          <w:p>
            <w:pPr>
              <w:pStyle w:val="TableContents"/>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&lt;0.01%</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Shares Voted:</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Percentage of Series A 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2,000,000 100.00%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w:t>
            </w:r>
          </w:p>
          <w:p>
            <w:pPr>
              <w:pStyle w:val="TableContents"/>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w:t>
            </w:r>
          </w:p>
          <w:p>
            <w:pPr>
              <w:pStyle w:val="TableContents"/>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Ordinary Resolution 1 passed.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 on July 21, 2026.</w:t>
      </w:r>
    </w:p>
    <w:p>
      <w:pPr>
        <w:pStyle w:val="TextBody"/>
        <w:bidi w:val="0"/>
        <w:spacing w:before="0" w:after="0"/>
        <w:ind w:left="0" w:right="0" w:hanging="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545"/>
        <w:gridCol w:w="41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69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TryHard Holdings Limited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4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4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Rakuyo Otsuki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Rakuyo Otsuki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Chief Executive officer, and Chairperson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808</Words>
  <Characters>4197</Characters>
  <CharactersWithSpaces>5069</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